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46E38" w14:textId="77777777" w:rsidR="005458F6" w:rsidRPr="005458F6" w:rsidRDefault="005458F6" w:rsidP="005458F6">
      <w:pPr>
        <w:rPr>
          <w:b/>
          <w:bCs/>
          <w:lang w:val="en"/>
        </w:rPr>
      </w:pPr>
      <w:r w:rsidRPr="005458F6">
        <w:rPr>
          <w:b/>
          <w:bCs/>
          <w:lang w:val="en"/>
        </w:rPr>
        <w:t>Scottish Law Commission Return for Financial Year 2025/2026</w:t>
      </w:r>
    </w:p>
    <w:p w14:paraId="6135475D" w14:textId="77777777" w:rsidR="005458F6" w:rsidRPr="005458F6" w:rsidRDefault="005458F6" w:rsidP="005458F6"/>
    <w:p w14:paraId="53FF9FA3" w14:textId="77777777" w:rsidR="005458F6" w:rsidRPr="005458F6" w:rsidRDefault="005458F6" w:rsidP="005458F6">
      <w:r w:rsidRPr="005458F6">
        <w:t>Under the Public Services Reform (Scotland) Act 2010 the Commission, along with other public bodies in Scotland, has a duty to publish an annual statement relating to our expenditure in the following areas: </w:t>
      </w:r>
    </w:p>
    <w:p w14:paraId="50092C6D" w14:textId="2DE2D204" w:rsidR="005458F6" w:rsidRPr="005458F6" w:rsidRDefault="00491EA7" w:rsidP="005458F6">
      <w:pPr>
        <w:numPr>
          <w:ilvl w:val="0"/>
          <w:numId w:val="7"/>
        </w:numPr>
      </w:pPr>
      <w:r>
        <w:t>p</w:t>
      </w:r>
      <w:r w:rsidR="005458F6" w:rsidRPr="005458F6">
        <w:t>ublic relations</w:t>
      </w:r>
    </w:p>
    <w:p w14:paraId="0AFA3089" w14:textId="15117BBF" w:rsidR="005458F6" w:rsidRPr="005458F6" w:rsidRDefault="00491EA7" w:rsidP="005458F6">
      <w:pPr>
        <w:numPr>
          <w:ilvl w:val="0"/>
          <w:numId w:val="7"/>
        </w:numPr>
      </w:pPr>
      <w:r>
        <w:t>o</w:t>
      </w:r>
      <w:r w:rsidR="005458F6" w:rsidRPr="005458F6">
        <w:t>verseas travel</w:t>
      </w:r>
    </w:p>
    <w:p w14:paraId="3B24B091" w14:textId="516F9DC5" w:rsidR="005458F6" w:rsidRPr="005458F6" w:rsidRDefault="00491EA7" w:rsidP="005458F6">
      <w:pPr>
        <w:numPr>
          <w:ilvl w:val="0"/>
          <w:numId w:val="7"/>
        </w:numPr>
      </w:pPr>
      <w:r>
        <w:t>h</w:t>
      </w:r>
      <w:r w:rsidR="005458F6" w:rsidRPr="005458F6">
        <w:t>ospitality and entertainment</w:t>
      </w:r>
    </w:p>
    <w:p w14:paraId="09967861" w14:textId="3DE1328F" w:rsidR="005458F6" w:rsidRPr="005458F6" w:rsidRDefault="00491EA7" w:rsidP="005458F6">
      <w:pPr>
        <w:numPr>
          <w:ilvl w:val="0"/>
          <w:numId w:val="7"/>
        </w:numPr>
      </w:pPr>
      <w:r>
        <w:t>e</w:t>
      </w:r>
      <w:r w:rsidR="005458F6" w:rsidRPr="005458F6">
        <w:t>xternal consultancy </w:t>
      </w:r>
    </w:p>
    <w:p w14:paraId="6C94E293" w14:textId="77777777" w:rsidR="005458F6" w:rsidRPr="005458F6" w:rsidRDefault="005458F6" w:rsidP="005458F6"/>
    <w:p w14:paraId="2CCBA608" w14:textId="77777777" w:rsidR="00937154" w:rsidRDefault="005458F6" w:rsidP="005458F6">
      <w:r w:rsidRPr="005458F6">
        <w:t>There are further duties to publish certain information relating to</w:t>
      </w:r>
      <w:r w:rsidR="00937154">
        <w:t>:</w:t>
      </w:r>
    </w:p>
    <w:p w14:paraId="6518F3C8" w14:textId="32E784C0" w:rsidR="00937154" w:rsidRDefault="005458F6" w:rsidP="00937154">
      <w:pPr>
        <w:pStyle w:val="ListParagraph"/>
        <w:numPr>
          <w:ilvl w:val="0"/>
          <w:numId w:val="11"/>
        </w:numPr>
      </w:pPr>
      <w:r w:rsidRPr="005458F6">
        <w:t xml:space="preserve">the purchasing of goods, </w:t>
      </w:r>
      <w:r w:rsidR="00105FF7">
        <w:t>and</w:t>
      </w:r>
    </w:p>
    <w:p w14:paraId="26C50A3B" w14:textId="5B60D84D" w:rsidR="005458F6" w:rsidRPr="005458F6" w:rsidRDefault="005458F6" w:rsidP="00105FF7">
      <w:pPr>
        <w:pStyle w:val="ListParagraph"/>
        <w:numPr>
          <w:ilvl w:val="0"/>
          <w:numId w:val="11"/>
        </w:numPr>
      </w:pPr>
      <w:r w:rsidRPr="005458F6">
        <w:t>the remuneration of employees</w:t>
      </w:r>
      <w:r w:rsidR="00105FF7">
        <w:t>.</w:t>
      </w:r>
    </w:p>
    <w:p w14:paraId="70263167" w14:textId="77777777" w:rsidR="005458F6" w:rsidRPr="005458F6" w:rsidRDefault="005458F6" w:rsidP="005458F6"/>
    <w:p w14:paraId="04423090" w14:textId="551980FD" w:rsidR="005458F6" w:rsidRPr="005458F6" w:rsidRDefault="005458F6" w:rsidP="005458F6">
      <w:r w:rsidRPr="005458F6">
        <w:t>Our statement covering the financial year 2025-2026 is set out below: </w:t>
      </w:r>
    </w:p>
    <w:p w14:paraId="0FF5B010" w14:textId="77777777" w:rsidR="005458F6" w:rsidRPr="005458F6" w:rsidRDefault="005458F6" w:rsidP="005458F6"/>
    <w:tbl>
      <w:tblPr>
        <w:tblW w:w="7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677"/>
        <w:gridCol w:w="3856"/>
      </w:tblGrid>
      <w:tr w:rsidR="005458F6" w:rsidRPr="005458F6" w14:paraId="67A2B33E" w14:textId="77777777" w:rsidTr="009F485B">
        <w:trPr>
          <w:jc w:val="center"/>
        </w:trPr>
        <w:tc>
          <w:tcPr>
            <w:tcW w:w="7533" w:type="dxa"/>
            <w:gridSpan w:val="2"/>
            <w:shd w:val="clear" w:color="auto" w:fill="FFFFFF"/>
            <w:tcMar>
              <w:top w:w="120" w:type="dxa"/>
              <w:left w:w="120" w:type="dxa"/>
              <w:bottom w:w="120" w:type="dxa"/>
              <w:right w:w="120" w:type="dxa"/>
            </w:tcMar>
            <w:hideMark/>
          </w:tcPr>
          <w:p w14:paraId="5F7005FD" w14:textId="77777777" w:rsidR="005458F6" w:rsidRPr="005458F6" w:rsidRDefault="005458F6" w:rsidP="005458F6">
            <w:pPr>
              <w:rPr>
                <w:b/>
                <w:bCs/>
              </w:rPr>
            </w:pPr>
            <w:r w:rsidRPr="005458F6">
              <w:rPr>
                <w:b/>
                <w:bCs/>
              </w:rPr>
              <w:t>Public Services Reform (Scotland) Act 2010</w:t>
            </w:r>
          </w:p>
        </w:tc>
      </w:tr>
      <w:tr w:rsidR="005458F6" w:rsidRPr="005458F6" w14:paraId="497F7120" w14:textId="77777777" w:rsidTr="009F485B">
        <w:trPr>
          <w:jc w:val="center"/>
        </w:trPr>
        <w:tc>
          <w:tcPr>
            <w:tcW w:w="7533" w:type="dxa"/>
            <w:gridSpan w:val="2"/>
            <w:shd w:val="clear" w:color="auto" w:fill="FFFFFF"/>
            <w:tcMar>
              <w:top w:w="120" w:type="dxa"/>
              <w:left w:w="120" w:type="dxa"/>
              <w:bottom w:w="120" w:type="dxa"/>
              <w:right w:w="120" w:type="dxa"/>
            </w:tcMar>
            <w:hideMark/>
          </w:tcPr>
          <w:p w14:paraId="67C346C9" w14:textId="5517353E" w:rsidR="005458F6" w:rsidRPr="005458F6" w:rsidRDefault="005458F6" w:rsidP="005458F6">
            <w:r w:rsidRPr="005458F6">
              <w:t>Expenditure for Financial Year 2025/2026</w:t>
            </w:r>
          </w:p>
        </w:tc>
      </w:tr>
      <w:tr w:rsidR="005458F6" w:rsidRPr="005458F6" w14:paraId="293109AD" w14:textId="77777777" w:rsidTr="009F485B">
        <w:trPr>
          <w:jc w:val="center"/>
        </w:trPr>
        <w:tc>
          <w:tcPr>
            <w:tcW w:w="3677" w:type="dxa"/>
            <w:shd w:val="clear" w:color="auto" w:fill="FFFFFF"/>
            <w:tcMar>
              <w:top w:w="120" w:type="dxa"/>
              <w:left w:w="120" w:type="dxa"/>
              <w:bottom w:w="120" w:type="dxa"/>
              <w:right w:w="120" w:type="dxa"/>
            </w:tcMar>
            <w:hideMark/>
          </w:tcPr>
          <w:p w14:paraId="3923A5E0" w14:textId="77777777" w:rsidR="005458F6" w:rsidRPr="005458F6" w:rsidRDefault="005458F6" w:rsidP="005458F6">
            <w:pPr>
              <w:rPr>
                <w:b/>
                <w:bCs/>
              </w:rPr>
            </w:pPr>
            <w:r w:rsidRPr="005458F6">
              <w:rPr>
                <w:b/>
                <w:bCs/>
              </w:rPr>
              <w:t>Activity</w:t>
            </w:r>
          </w:p>
        </w:tc>
        <w:tc>
          <w:tcPr>
            <w:tcW w:w="3856" w:type="dxa"/>
            <w:shd w:val="clear" w:color="auto" w:fill="FFFFFF"/>
            <w:tcMar>
              <w:top w:w="120" w:type="dxa"/>
              <w:left w:w="120" w:type="dxa"/>
              <w:bottom w:w="120" w:type="dxa"/>
              <w:right w:w="120" w:type="dxa"/>
            </w:tcMar>
            <w:hideMark/>
          </w:tcPr>
          <w:p w14:paraId="279F66A2" w14:textId="77777777" w:rsidR="005458F6" w:rsidRPr="005458F6" w:rsidRDefault="005458F6" w:rsidP="005458F6">
            <w:pPr>
              <w:rPr>
                <w:b/>
                <w:bCs/>
              </w:rPr>
            </w:pPr>
            <w:r w:rsidRPr="005458F6">
              <w:rPr>
                <w:b/>
                <w:bCs/>
              </w:rPr>
              <w:t>Spend 2025/2026</w:t>
            </w:r>
          </w:p>
        </w:tc>
      </w:tr>
      <w:tr w:rsidR="005458F6" w:rsidRPr="005458F6" w14:paraId="7B3DA8E3" w14:textId="77777777" w:rsidTr="009F485B">
        <w:trPr>
          <w:jc w:val="center"/>
        </w:trPr>
        <w:tc>
          <w:tcPr>
            <w:tcW w:w="3677" w:type="dxa"/>
            <w:shd w:val="clear" w:color="auto" w:fill="FFFFFF"/>
            <w:tcMar>
              <w:top w:w="120" w:type="dxa"/>
              <w:left w:w="120" w:type="dxa"/>
              <w:bottom w:w="120" w:type="dxa"/>
              <w:right w:w="120" w:type="dxa"/>
            </w:tcMar>
            <w:hideMark/>
          </w:tcPr>
          <w:p w14:paraId="594D0DDC" w14:textId="77777777" w:rsidR="005458F6" w:rsidRPr="005458F6" w:rsidRDefault="005458F6" w:rsidP="005458F6">
            <w:r w:rsidRPr="005458F6">
              <w:t>Public Relations</w:t>
            </w:r>
          </w:p>
        </w:tc>
        <w:tc>
          <w:tcPr>
            <w:tcW w:w="3856" w:type="dxa"/>
            <w:shd w:val="clear" w:color="auto" w:fill="FFFFFF"/>
            <w:tcMar>
              <w:top w:w="120" w:type="dxa"/>
              <w:left w:w="120" w:type="dxa"/>
              <w:bottom w:w="120" w:type="dxa"/>
              <w:right w:w="120" w:type="dxa"/>
            </w:tcMar>
            <w:hideMark/>
          </w:tcPr>
          <w:p w14:paraId="7C198CDB" w14:textId="77777777" w:rsidR="005458F6" w:rsidRPr="005458F6" w:rsidRDefault="005458F6" w:rsidP="005458F6">
            <w:r w:rsidRPr="005458F6">
              <w:t>Nil</w:t>
            </w:r>
          </w:p>
        </w:tc>
      </w:tr>
      <w:tr w:rsidR="005458F6" w:rsidRPr="005458F6" w14:paraId="500A4EE1" w14:textId="77777777" w:rsidTr="009F485B">
        <w:trPr>
          <w:jc w:val="center"/>
        </w:trPr>
        <w:tc>
          <w:tcPr>
            <w:tcW w:w="3677" w:type="dxa"/>
            <w:shd w:val="clear" w:color="auto" w:fill="FFFFFF"/>
            <w:tcMar>
              <w:top w:w="120" w:type="dxa"/>
              <w:left w:w="120" w:type="dxa"/>
              <w:bottom w:w="120" w:type="dxa"/>
              <w:right w:w="120" w:type="dxa"/>
            </w:tcMar>
            <w:hideMark/>
          </w:tcPr>
          <w:p w14:paraId="07850C12" w14:textId="77777777" w:rsidR="005458F6" w:rsidRPr="005458F6" w:rsidRDefault="005458F6" w:rsidP="005458F6">
            <w:r w:rsidRPr="005458F6">
              <w:t>Overseas Travel</w:t>
            </w:r>
          </w:p>
        </w:tc>
        <w:tc>
          <w:tcPr>
            <w:tcW w:w="3856" w:type="dxa"/>
            <w:shd w:val="clear" w:color="auto" w:fill="FFFFFF"/>
            <w:tcMar>
              <w:top w:w="120" w:type="dxa"/>
              <w:left w:w="120" w:type="dxa"/>
              <w:bottom w:w="120" w:type="dxa"/>
              <w:right w:w="120" w:type="dxa"/>
            </w:tcMar>
            <w:hideMark/>
          </w:tcPr>
          <w:p w14:paraId="162CCEE8" w14:textId="77777777" w:rsidR="005458F6" w:rsidRPr="005458F6" w:rsidRDefault="005458F6" w:rsidP="005458F6">
            <w:r w:rsidRPr="005458F6">
              <w:t>Nil</w:t>
            </w:r>
          </w:p>
        </w:tc>
      </w:tr>
      <w:tr w:rsidR="005458F6" w:rsidRPr="005458F6" w14:paraId="537F036E" w14:textId="77777777" w:rsidTr="009F485B">
        <w:trPr>
          <w:jc w:val="center"/>
        </w:trPr>
        <w:tc>
          <w:tcPr>
            <w:tcW w:w="3677" w:type="dxa"/>
            <w:shd w:val="clear" w:color="auto" w:fill="FFFFFF"/>
            <w:tcMar>
              <w:top w:w="120" w:type="dxa"/>
              <w:left w:w="120" w:type="dxa"/>
              <w:bottom w:w="120" w:type="dxa"/>
              <w:right w:w="120" w:type="dxa"/>
            </w:tcMar>
            <w:hideMark/>
          </w:tcPr>
          <w:p w14:paraId="3680FB36" w14:textId="77777777" w:rsidR="005458F6" w:rsidRPr="005458F6" w:rsidRDefault="005458F6" w:rsidP="005458F6">
            <w:r w:rsidRPr="005458F6">
              <w:t>Hospitality and Entertainment</w:t>
            </w:r>
          </w:p>
        </w:tc>
        <w:tc>
          <w:tcPr>
            <w:tcW w:w="3856" w:type="dxa"/>
            <w:shd w:val="clear" w:color="auto" w:fill="FFFFFF"/>
            <w:tcMar>
              <w:top w:w="120" w:type="dxa"/>
              <w:left w:w="120" w:type="dxa"/>
              <w:bottom w:w="120" w:type="dxa"/>
              <w:right w:w="120" w:type="dxa"/>
            </w:tcMar>
            <w:hideMark/>
          </w:tcPr>
          <w:p w14:paraId="0D32088F" w14:textId="77777777" w:rsidR="005458F6" w:rsidRPr="005458F6" w:rsidRDefault="005458F6" w:rsidP="005458F6">
            <w:r w:rsidRPr="005458F6">
              <w:t>£1,025.35</w:t>
            </w:r>
          </w:p>
        </w:tc>
      </w:tr>
      <w:tr w:rsidR="005458F6" w:rsidRPr="005458F6" w14:paraId="10038283" w14:textId="77777777" w:rsidTr="009F485B">
        <w:trPr>
          <w:jc w:val="center"/>
        </w:trPr>
        <w:tc>
          <w:tcPr>
            <w:tcW w:w="3677" w:type="dxa"/>
            <w:shd w:val="clear" w:color="auto" w:fill="FFFFFF"/>
            <w:tcMar>
              <w:top w:w="120" w:type="dxa"/>
              <w:left w:w="120" w:type="dxa"/>
              <w:bottom w:w="120" w:type="dxa"/>
              <w:right w:w="120" w:type="dxa"/>
            </w:tcMar>
            <w:hideMark/>
          </w:tcPr>
          <w:p w14:paraId="4AB3769E" w14:textId="77777777" w:rsidR="005458F6" w:rsidRPr="005458F6" w:rsidRDefault="005458F6" w:rsidP="005458F6">
            <w:r w:rsidRPr="005458F6">
              <w:t>External Consultancy</w:t>
            </w:r>
          </w:p>
        </w:tc>
        <w:tc>
          <w:tcPr>
            <w:tcW w:w="3856" w:type="dxa"/>
            <w:shd w:val="clear" w:color="auto" w:fill="FFFFFF"/>
            <w:tcMar>
              <w:top w:w="120" w:type="dxa"/>
              <w:left w:w="120" w:type="dxa"/>
              <w:bottom w:w="120" w:type="dxa"/>
              <w:right w:w="120" w:type="dxa"/>
            </w:tcMar>
            <w:hideMark/>
          </w:tcPr>
          <w:p w14:paraId="61DA5533" w14:textId="77777777" w:rsidR="005458F6" w:rsidRPr="005458F6" w:rsidRDefault="005458F6" w:rsidP="005458F6">
            <w:r w:rsidRPr="005458F6">
              <w:t>£564</w:t>
            </w:r>
          </w:p>
        </w:tc>
      </w:tr>
    </w:tbl>
    <w:p w14:paraId="71B28E2A" w14:textId="77777777" w:rsidR="005458F6" w:rsidRPr="005458F6" w:rsidRDefault="005458F6" w:rsidP="005458F6"/>
    <w:p w14:paraId="154C939D" w14:textId="77777777" w:rsidR="005458F6" w:rsidRPr="005458F6" w:rsidRDefault="005458F6" w:rsidP="005458F6">
      <w:r w:rsidRPr="005458F6">
        <w:t>Hospitality and Entertainment comprised spending for the Commission’s 60</w:t>
      </w:r>
      <w:r w:rsidRPr="005458F6">
        <w:rPr>
          <w:vertAlign w:val="superscript"/>
        </w:rPr>
        <w:t>th</w:t>
      </w:r>
      <w:r w:rsidRPr="005458F6">
        <w:t xml:space="preserve"> anniversary conference in June 2025, entitled “Law Reform: Shaping Society?”</w:t>
      </w:r>
    </w:p>
    <w:p w14:paraId="35C7B0BA" w14:textId="77777777" w:rsidR="005458F6" w:rsidRPr="005458F6" w:rsidRDefault="005458F6" w:rsidP="005458F6"/>
    <w:p w14:paraId="48D38D03" w14:textId="77777777" w:rsidR="005458F6" w:rsidRPr="005458F6" w:rsidRDefault="005458F6" w:rsidP="005458F6">
      <w:r w:rsidRPr="005458F6">
        <w:t>External consultancy comprised spending on IT support services.</w:t>
      </w:r>
    </w:p>
    <w:p w14:paraId="76D583D4" w14:textId="77777777" w:rsidR="005458F6" w:rsidRPr="005458F6" w:rsidRDefault="005458F6" w:rsidP="005458F6"/>
    <w:tbl>
      <w:tblPr>
        <w:tblW w:w="914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119"/>
        <w:gridCol w:w="1559"/>
        <w:gridCol w:w="1559"/>
        <w:gridCol w:w="2909"/>
      </w:tblGrid>
      <w:tr w:rsidR="005458F6" w:rsidRPr="005458F6" w14:paraId="4A39D5F4" w14:textId="77777777" w:rsidTr="009F485B">
        <w:trPr>
          <w:jc w:val="right"/>
        </w:trPr>
        <w:tc>
          <w:tcPr>
            <w:tcW w:w="9146" w:type="dxa"/>
            <w:gridSpan w:val="4"/>
            <w:shd w:val="clear" w:color="auto" w:fill="FFFFFF"/>
            <w:tcMar>
              <w:top w:w="120" w:type="dxa"/>
              <w:left w:w="120" w:type="dxa"/>
              <w:bottom w:w="120" w:type="dxa"/>
              <w:right w:w="120" w:type="dxa"/>
            </w:tcMar>
            <w:hideMark/>
          </w:tcPr>
          <w:p w14:paraId="782F50C0" w14:textId="77777777" w:rsidR="005458F6" w:rsidRPr="005458F6" w:rsidRDefault="005458F6" w:rsidP="005458F6">
            <w:pPr>
              <w:rPr>
                <w:b/>
                <w:bCs/>
              </w:rPr>
            </w:pPr>
            <w:r w:rsidRPr="005458F6">
              <w:rPr>
                <w:b/>
                <w:bCs/>
              </w:rPr>
              <w:lastRenderedPageBreak/>
              <w:t>Payments in excess of £25,000 (2025/2026)</w:t>
            </w:r>
          </w:p>
        </w:tc>
      </w:tr>
      <w:tr w:rsidR="009471AC" w:rsidRPr="005458F6" w14:paraId="747F0F43" w14:textId="77777777" w:rsidTr="009F485B">
        <w:trPr>
          <w:jc w:val="right"/>
        </w:trPr>
        <w:tc>
          <w:tcPr>
            <w:tcW w:w="3119" w:type="dxa"/>
            <w:shd w:val="clear" w:color="auto" w:fill="FFFFFF"/>
            <w:tcMar>
              <w:top w:w="120" w:type="dxa"/>
              <w:left w:w="120" w:type="dxa"/>
              <w:bottom w:w="120" w:type="dxa"/>
              <w:right w:w="120" w:type="dxa"/>
            </w:tcMar>
            <w:hideMark/>
          </w:tcPr>
          <w:p w14:paraId="27D1C364" w14:textId="77777777" w:rsidR="005458F6" w:rsidRPr="005458F6" w:rsidRDefault="005458F6" w:rsidP="005458F6">
            <w:pPr>
              <w:rPr>
                <w:b/>
                <w:bCs/>
              </w:rPr>
            </w:pPr>
            <w:r w:rsidRPr="005458F6">
              <w:rPr>
                <w:b/>
                <w:bCs/>
                <w:u w:val="single"/>
              </w:rPr>
              <w:t>Payee</w:t>
            </w:r>
          </w:p>
        </w:tc>
        <w:tc>
          <w:tcPr>
            <w:tcW w:w="1559" w:type="dxa"/>
            <w:shd w:val="clear" w:color="auto" w:fill="FFFFFF"/>
            <w:tcMar>
              <w:top w:w="120" w:type="dxa"/>
              <w:left w:w="120" w:type="dxa"/>
              <w:bottom w:w="120" w:type="dxa"/>
              <w:right w:w="120" w:type="dxa"/>
            </w:tcMar>
            <w:hideMark/>
          </w:tcPr>
          <w:p w14:paraId="35418D53" w14:textId="77777777" w:rsidR="005458F6" w:rsidRPr="005458F6" w:rsidRDefault="005458F6" w:rsidP="005458F6">
            <w:pPr>
              <w:rPr>
                <w:b/>
                <w:bCs/>
              </w:rPr>
            </w:pPr>
            <w:r w:rsidRPr="005458F6">
              <w:rPr>
                <w:b/>
                <w:bCs/>
                <w:u w:val="single"/>
              </w:rPr>
              <w:t>Amount</w:t>
            </w:r>
          </w:p>
        </w:tc>
        <w:tc>
          <w:tcPr>
            <w:tcW w:w="1559" w:type="dxa"/>
            <w:shd w:val="clear" w:color="auto" w:fill="FFFFFF"/>
            <w:tcMar>
              <w:top w:w="120" w:type="dxa"/>
              <w:left w:w="120" w:type="dxa"/>
              <w:bottom w:w="120" w:type="dxa"/>
              <w:right w:w="120" w:type="dxa"/>
            </w:tcMar>
            <w:hideMark/>
          </w:tcPr>
          <w:p w14:paraId="2ED77342" w14:textId="77777777" w:rsidR="005458F6" w:rsidRPr="005458F6" w:rsidRDefault="005458F6" w:rsidP="005458F6">
            <w:pPr>
              <w:rPr>
                <w:b/>
                <w:bCs/>
              </w:rPr>
            </w:pPr>
            <w:r w:rsidRPr="005458F6">
              <w:rPr>
                <w:b/>
                <w:bCs/>
                <w:u w:val="single"/>
              </w:rPr>
              <w:t>Date</w:t>
            </w:r>
          </w:p>
        </w:tc>
        <w:tc>
          <w:tcPr>
            <w:tcW w:w="2909" w:type="dxa"/>
            <w:shd w:val="clear" w:color="auto" w:fill="FFFFFF"/>
            <w:tcMar>
              <w:top w:w="120" w:type="dxa"/>
              <w:left w:w="120" w:type="dxa"/>
              <w:bottom w:w="120" w:type="dxa"/>
              <w:right w:w="120" w:type="dxa"/>
            </w:tcMar>
            <w:hideMark/>
          </w:tcPr>
          <w:p w14:paraId="1A6D771B" w14:textId="77777777" w:rsidR="005458F6" w:rsidRPr="005458F6" w:rsidRDefault="005458F6" w:rsidP="005458F6">
            <w:pPr>
              <w:rPr>
                <w:b/>
                <w:bCs/>
              </w:rPr>
            </w:pPr>
            <w:r w:rsidRPr="005458F6">
              <w:rPr>
                <w:b/>
                <w:bCs/>
                <w:u w:val="single"/>
              </w:rPr>
              <w:t>Description</w:t>
            </w:r>
          </w:p>
        </w:tc>
      </w:tr>
      <w:tr w:rsidR="009471AC" w:rsidRPr="005458F6" w14:paraId="53C714CB" w14:textId="77777777" w:rsidTr="009F485B">
        <w:trPr>
          <w:jc w:val="right"/>
        </w:trPr>
        <w:tc>
          <w:tcPr>
            <w:tcW w:w="3119" w:type="dxa"/>
            <w:shd w:val="clear" w:color="auto" w:fill="FFFFFF"/>
            <w:tcMar>
              <w:top w:w="120" w:type="dxa"/>
              <w:left w:w="120" w:type="dxa"/>
              <w:bottom w:w="120" w:type="dxa"/>
              <w:right w:w="120" w:type="dxa"/>
            </w:tcMar>
            <w:hideMark/>
          </w:tcPr>
          <w:p w14:paraId="49796FFB" w14:textId="77777777" w:rsidR="005458F6" w:rsidRPr="005458F6" w:rsidRDefault="005458F6" w:rsidP="005458F6">
            <w:r w:rsidRPr="005458F6">
              <w:t>Avison Young (acting on behalf of the Scottish Courts and Tribunals Service)</w:t>
            </w:r>
          </w:p>
        </w:tc>
        <w:tc>
          <w:tcPr>
            <w:tcW w:w="1559" w:type="dxa"/>
            <w:shd w:val="clear" w:color="auto" w:fill="FFFFFF"/>
            <w:tcMar>
              <w:top w:w="120" w:type="dxa"/>
              <w:left w:w="120" w:type="dxa"/>
              <w:bottom w:w="120" w:type="dxa"/>
              <w:right w:w="120" w:type="dxa"/>
            </w:tcMar>
            <w:hideMark/>
          </w:tcPr>
          <w:p w14:paraId="52C9C6BA" w14:textId="77777777" w:rsidR="005458F6" w:rsidRPr="005458F6" w:rsidRDefault="005458F6" w:rsidP="005458F6">
            <w:r w:rsidRPr="005458F6">
              <w:t>£29,453.60</w:t>
            </w:r>
          </w:p>
        </w:tc>
        <w:tc>
          <w:tcPr>
            <w:tcW w:w="1559" w:type="dxa"/>
            <w:shd w:val="clear" w:color="auto" w:fill="FFFFFF"/>
            <w:tcMar>
              <w:top w:w="120" w:type="dxa"/>
              <w:left w:w="120" w:type="dxa"/>
              <w:bottom w:w="120" w:type="dxa"/>
              <w:right w:w="120" w:type="dxa"/>
            </w:tcMar>
            <w:hideMark/>
          </w:tcPr>
          <w:p w14:paraId="21D99F8B" w14:textId="77777777" w:rsidR="005458F6" w:rsidRPr="005458F6" w:rsidRDefault="005458F6" w:rsidP="005458F6">
            <w:r w:rsidRPr="005458F6">
              <w:t>15/05/2025</w:t>
            </w:r>
          </w:p>
        </w:tc>
        <w:tc>
          <w:tcPr>
            <w:tcW w:w="2909" w:type="dxa"/>
            <w:shd w:val="clear" w:color="auto" w:fill="FFFFFF"/>
            <w:tcMar>
              <w:top w:w="120" w:type="dxa"/>
              <w:left w:w="120" w:type="dxa"/>
              <w:bottom w:w="120" w:type="dxa"/>
              <w:right w:w="120" w:type="dxa"/>
            </w:tcMar>
            <w:hideMark/>
          </w:tcPr>
          <w:p w14:paraId="34CA6666" w14:textId="77777777" w:rsidR="005458F6" w:rsidRPr="005458F6" w:rsidRDefault="005458F6" w:rsidP="005458F6">
            <w:r w:rsidRPr="005458F6">
              <w:t>Occupancy costs for premises in Parliament House covering period July to September 2025.</w:t>
            </w:r>
          </w:p>
        </w:tc>
      </w:tr>
      <w:tr w:rsidR="009471AC" w:rsidRPr="005458F6" w14:paraId="07866319" w14:textId="77777777" w:rsidTr="009F485B">
        <w:trPr>
          <w:jc w:val="right"/>
        </w:trPr>
        <w:tc>
          <w:tcPr>
            <w:tcW w:w="3119" w:type="dxa"/>
            <w:shd w:val="clear" w:color="auto" w:fill="FFFFFF"/>
            <w:tcMar>
              <w:top w:w="120" w:type="dxa"/>
              <w:left w:w="120" w:type="dxa"/>
              <w:bottom w:w="120" w:type="dxa"/>
              <w:right w:w="120" w:type="dxa"/>
            </w:tcMar>
            <w:hideMark/>
          </w:tcPr>
          <w:p w14:paraId="1775A35D" w14:textId="77777777" w:rsidR="005458F6" w:rsidRPr="005458F6" w:rsidRDefault="005458F6" w:rsidP="005458F6">
            <w:r w:rsidRPr="005458F6">
              <w:t>Avison Young (acting on behalf of the Scottish Courts and Tribunals Service)</w:t>
            </w:r>
          </w:p>
        </w:tc>
        <w:tc>
          <w:tcPr>
            <w:tcW w:w="1559" w:type="dxa"/>
            <w:shd w:val="clear" w:color="auto" w:fill="FFFFFF"/>
            <w:tcMar>
              <w:top w:w="120" w:type="dxa"/>
              <w:left w:w="120" w:type="dxa"/>
              <w:bottom w:w="120" w:type="dxa"/>
              <w:right w:w="120" w:type="dxa"/>
            </w:tcMar>
            <w:hideMark/>
          </w:tcPr>
          <w:p w14:paraId="1708E4AE" w14:textId="77777777" w:rsidR="005458F6" w:rsidRPr="005458F6" w:rsidRDefault="005458F6" w:rsidP="005458F6">
            <w:r w:rsidRPr="005458F6">
              <w:t>£29,453.60</w:t>
            </w:r>
          </w:p>
        </w:tc>
        <w:tc>
          <w:tcPr>
            <w:tcW w:w="1559" w:type="dxa"/>
            <w:shd w:val="clear" w:color="auto" w:fill="FFFFFF"/>
            <w:tcMar>
              <w:top w:w="120" w:type="dxa"/>
              <w:left w:w="120" w:type="dxa"/>
              <w:bottom w:w="120" w:type="dxa"/>
              <w:right w:w="120" w:type="dxa"/>
            </w:tcMar>
            <w:hideMark/>
          </w:tcPr>
          <w:p w14:paraId="4B399C09" w14:textId="77777777" w:rsidR="005458F6" w:rsidRPr="005458F6" w:rsidRDefault="005458F6" w:rsidP="005458F6">
            <w:r w:rsidRPr="005458F6">
              <w:t>13/08/2025</w:t>
            </w:r>
          </w:p>
        </w:tc>
        <w:tc>
          <w:tcPr>
            <w:tcW w:w="2909" w:type="dxa"/>
            <w:shd w:val="clear" w:color="auto" w:fill="FFFFFF"/>
            <w:tcMar>
              <w:top w:w="120" w:type="dxa"/>
              <w:left w:w="120" w:type="dxa"/>
              <w:bottom w:w="120" w:type="dxa"/>
              <w:right w:w="120" w:type="dxa"/>
            </w:tcMar>
            <w:hideMark/>
          </w:tcPr>
          <w:p w14:paraId="7C23E147" w14:textId="5F362663" w:rsidR="005458F6" w:rsidRPr="005458F6" w:rsidRDefault="005458F6" w:rsidP="005458F6">
            <w:r w:rsidRPr="005458F6">
              <w:t>Occupancy cost</w:t>
            </w:r>
            <w:r w:rsidR="009F485B">
              <w:t>s</w:t>
            </w:r>
            <w:r w:rsidRPr="005458F6">
              <w:t xml:space="preserve"> for premises in Parliament House covering period October to December 2025.</w:t>
            </w:r>
          </w:p>
        </w:tc>
      </w:tr>
      <w:tr w:rsidR="009471AC" w:rsidRPr="005458F6" w14:paraId="22212DD5" w14:textId="77777777" w:rsidTr="009F485B">
        <w:trPr>
          <w:jc w:val="right"/>
        </w:trPr>
        <w:tc>
          <w:tcPr>
            <w:tcW w:w="3119" w:type="dxa"/>
            <w:shd w:val="clear" w:color="auto" w:fill="FFFFFF"/>
            <w:tcMar>
              <w:top w:w="120" w:type="dxa"/>
              <w:left w:w="120" w:type="dxa"/>
              <w:bottom w:w="120" w:type="dxa"/>
              <w:right w:w="120" w:type="dxa"/>
            </w:tcMar>
            <w:hideMark/>
          </w:tcPr>
          <w:p w14:paraId="499464C3" w14:textId="77777777" w:rsidR="005458F6" w:rsidRPr="005458F6" w:rsidRDefault="005458F6" w:rsidP="005458F6">
            <w:r w:rsidRPr="005458F6">
              <w:t>Avison Young (acting on behalf of the Scottish Courts and Tribunals Service)</w:t>
            </w:r>
          </w:p>
        </w:tc>
        <w:tc>
          <w:tcPr>
            <w:tcW w:w="1559" w:type="dxa"/>
            <w:shd w:val="clear" w:color="auto" w:fill="FFFFFF"/>
            <w:tcMar>
              <w:top w:w="120" w:type="dxa"/>
              <w:left w:w="120" w:type="dxa"/>
              <w:bottom w:w="120" w:type="dxa"/>
              <w:right w:w="120" w:type="dxa"/>
            </w:tcMar>
            <w:hideMark/>
          </w:tcPr>
          <w:p w14:paraId="5CEA6CE5" w14:textId="77777777" w:rsidR="005458F6" w:rsidRPr="005458F6" w:rsidRDefault="005458F6" w:rsidP="005458F6">
            <w:r w:rsidRPr="005458F6">
              <w:t>£29,453.60</w:t>
            </w:r>
          </w:p>
        </w:tc>
        <w:tc>
          <w:tcPr>
            <w:tcW w:w="1559" w:type="dxa"/>
            <w:shd w:val="clear" w:color="auto" w:fill="FFFFFF"/>
            <w:tcMar>
              <w:top w:w="120" w:type="dxa"/>
              <w:left w:w="120" w:type="dxa"/>
              <w:bottom w:w="120" w:type="dxa"/>
              <w:right w:w="120" w:type="dxa"/>
            </w:tcMar>
            <w:hideMark/>
          </w:tcPr>
          <w:p w14:paraId="28608827" w14:textId="77777777" w:rsidR="005458F6" w:rsidRPr="005458F6" w:rsidRDefault="005458F6" w:rsidP="005458F6">
            <w:r w:rsidRPr="005458F6">
              <w:t>16/12/2025</w:t>
            </w:r>
          </w:p>
        </w:tc>
        <w:tc>
          <w:tcPr>
            <w:tcW w:w="2909" w:type="dxa"/>
            <w:shd w:val="clear" w:color="auto" w:fill="FFFFFF"/>
            <w:tcMar>
              <w:top w:w="120" w:type="dxa"/>
              <w:left w:w="120" w:type="dxa"/>
              <w:bottom w:w="120" w:type="dxa"/>
              <w:right w:w="120" w:type="dxa"/>
            </w:tcMar>
            <w:hideMark/>
          </w:tcPr>
          <w:p w14:paraId="1A53F66B" w14:textId="77777777" w:rsidR="005458F6" w:rsidRPr="005458F6" w:rsidRDefault="005458F6" w:rsidP="005458F6">
            <w:r w:rsidRPr="005458F6">
              <w:t>Occupancy costs for premises in Parliament House covering period January to March 2026.</w:t>
            </w:r>
          </w:p>
        </w:tc>
      </w:tr>
      <w:tr w:rsidR="009471AC" w:rsidRPr="005458F6" w14:paraId="3CFDF2D6" w14:textId="77777777" w:rsidTr="009F485B">
        <w:trPr>
          <w:jc w:val="right"/>
        </w:trPr>
        <w:tc>
          <w:tcPr>
            <w:tcW w:w="3119" w:type="dxa"/>
            <w:shd w:val="clear" w:color="auto" w:fill="FFFFFF"/>
            <w:tcMar>
              <w:top w:w="120" w:type="dxa"/>
              <w:left w:w="120" w:type="dxa"/>
              <w:bottom w:w="120" w:type="dxa"/>
              <w:right w:w="120" w:type="dxa"/>
            </w:tcMar>
            <w:hideMark/>
          </w:tcPr>
          <w:p w14:paraId="6DE7F860" w14:textId="77777777" w:rsidR="005458F6" w:rsidRPr="005458F6" w:rsidRDefault="005458F6" w:rsidP="005458F6">
            <w:r w:rsidRPr="005458F6">
              <w:t>Avison Young (acting on behalf of the Scottish Courts and Tribunals Service)</w:t>
            </w:r>
          </w:p>
        </w:tc>
        <w:tc>
          <w:tcPr>
            <w:tcW w:w="1559" w:type="dxa"/>
            <w:shd w:val="clear" w:color="auto" w:fill="FFFFFF"/>
            <w:tcMar>
              <w:top w:w="120" w:type="dxa"/>
              <w:left w:w="120" w:type="dxa"/>
              <w:bottom w:w="120" w:type="dxa"/>
              <w:right w:w="120" w:type="dxa"/>
            </w:tcMar>
            <w:hideMark/>
          </w:tcPr>
          <w:p w14:paraId="77307D52" w14:textId="77777777" w:rsidR="005458F6" w:rsidRPr="005458F6" w:rsidRDefault="005458F6" w:rsidP="005458F6">
            <w:r w:rsidRPr="005458F6">
              <w:t>£29,453.60</w:t>
            </w:r>
          </w:p>
        </w:tc>
        <w:tc>
          <w:tcPr>
            <w:tcW w:w="1559" w:type="dxa"/>
            <w:shd w:val="clear" w:color="auto" w:fill="FFFFFF"/>
            <w:tcMar>
              <w:top w:w="120" w:type="dxa"/>
              <w:left w:w="120" w:type="dxa"/>
              <w:bottom w:w="120" w:type="dxa"/>
              <w:right w:w="120" w:type="dxa"/>
            </w:tcMar>
            <w:hideMark/>
          </w:tcPr>
          <w:p w14:paraId="1A44BC23" w14:textId="77777777" w:rsidR="005458F6" w:rsidRPr="005458F6" w:rsidRDefault="005458F6" w:rsidP="005458F6">
            <w:r w:rsidRPr="005458F6">
              <w:t>17/02/2026</w:t>
            </w:r>
          </w:p>
        </w:tc>
        <w:tc>
          <w:tcPr>
            <w:tcW w:w="2909" w:type="dxa"/>
            <w:shd w:val="clear" w:color="auto" w:fill="FFFFFF"/>
            <w:tcMar>
              <w:top w:w="120" w:type="dxa"/>
              <w:left w:w="120" w:type="dxa"/>
              <w:bottom w:w="120" w:type="dxa"/>
              <w:right w:w="120" w:type="dxa"/>
            </w:tcMar>
            <w:hideMark/>
          </w:tcPr>
          <w:p w14:paraId="59F23C3E" w14:textId="77777777" w:rsidR="005458F6" w:rsidRPr="005458F6" w:rsidRDefault="005458F6" w:rsidP="005458F6">
            <w:r w:rsidRPr="005458F6">
              <w:t>Occupancy costs for premises in Parliament House covering period April to June 2026.</w:t>
            </w:r>
          </w:p>
        </w:tc>
      </w:tr>
    </w:tbl>
    <w:p w14:paraId="7559CD30" w14:textId="77777777" w:rsidR="005458F6" w:rsidRPr="005458F6" w:rsidRDefault="005458F6" w:rsidP="005458F6">
      <w:pPr>
        <w:rPr>
          <w:b/>
          <w:bCs/>
        </w:rPr>
      </w:pPr>
      <w:r w:rsidRPr="005458F6">
        <w:rPr>
          <w:b/>
          <w:bCs/>
        </w:rPr>
        <w:t> </w:t>
      </w:r>
    </w:p>
    <w:p w14:paraId="1121954A" w14:textId="3B6B9C3A" w:rsidR="005458F6" w:rsidRPr="005458F6" w:rsidRDefault="005458F6" w:rsidP="005458F6">
      <w:r w:rsidRPr="005458F6">
        <w:t>There were no other payments in excess of £25,000 in 2025/2026</w:t>
      </w:r>
      <w:r w:rsidR="009F485B">
        <w:t>.</w:t>
      </w:r>
    </w:p>
    <w:p w14:paraId="5068EC42" w14:textId="77777777" w:rsidR="005458F6" w:rsidRPr="005458F6" w:rsidRDefault="005458F6" w:rsidP="005458F6"/>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530"/>
        <w:gridCol w:w="4530"/>
      </w:tblGrid>
      <w:tr w:rsidR="005458F6" w:rsidRPr="005458F6" w14:paraId="548176D4" w14:textId="77777777" w:rsidTr="009F485B">
        <w:tc>
          <w:tcPr>
            <w:tcW w:w="4530" w:type="dxa"/>
            <w:shd w:val="clear" w:color="auto" w:fill="FFFFFF"/>
            <w:tcMar>
              <w:top w:w="120" w:type="dxa"/>
              <w:left w:w="120" w:type="dxa"/>
              <w:bottom w:w="120" w:type="dxa"/>
              <w:right w:w="120" w:type="dxa"/>
            </w:tcMar>
            <w:hideMark/>
          </w:tcPr>
          <w:p w14:paraId="643C788A" w14:textId="77777777" w:rsidR="005458F6" w:rsidRPr="005458F6" w:rsidRDefault="005458F6" w:rsidP="005458F6">
            <w:r w:rsidRPr="005458F6">
              <w:t>Remunerations received in excess of £150,000</w:t>
            </w:r>
          </w:p>
        </w:tc>
        <w:tc>
          <w:tcPr>
            <w:tcW w:w="4530" w:type="dxa"/>
            <w:shd w:val="clear" w:color="auto" w:fill="FFFFFF"/>
            <w:tcMar>
              <w:top w:w="120" w:type="dxa"/>
              <w:left w:w="120" w:type="dxa"/>
              <w:bottom w:w="120" w:type="dxa"/>
              <w:right w:w="120" w:type="dxa"/>
            </w:tcMar>
            <w:hideMark/>
          </w:tcPr>
          <w:p w14:paraId="7EE93ACB" w14:textId="77777777" w:rsidR="005458F6" w:rsidRPr="005458F6" w:rsidRDefault="005458F6" w:rsidP="005458F6">
            <w:r w:rsidRPr="005458F6">
              <w:t>Nil</w:t>
            </w:r>
          </w:p>
        </w:tc>
      </w:tr>
    </w:tbl>
    <w:p w14:paraId="05B8913D" w14:textId="77777777" w:rsidR="005458F6" w:rsidRDefault="005458F6" w:rsidP="005458F6"/>
    <w:p w14:paraId="268F8A2A" w14:textId="77777777" w:rsidR="007E5927" w:rsidRDefault="007E5927" w:rsidP="005458F6"/>
    <w:p w14:paraId="6503428D" w14:textId="77777777" w:rsidR="009A3BF1" w:rsidRDefault="009A3BF1" w:rsidP="005458F6"/>
    <w:p w14:paraId="79DAB6FC" w14:textId="77777777" w:rsidR="009A3BF1" w:rsidRDefault="009A3BF1" w:rsidP="005458F6"/>
    <w:p w14:paraId="7ADF60DE" w14:textId="77777777" w:rsidR="007E5927" w:rsidRPr="005458F6" w:rsidRDefault="007E5927" w:rsidP="005458F6"/>
    <w:p w14:paraId="41E8FB08" w14:textId="77777777" w:rsidR="005458F6" w:rsidRDefault="005458F6" w:rsidP="005458F6">
      <w:pPr>
        <w:rPr>
          <w:b/>
          <w:bCs/>
        </w:rPr>
      </w:pPr>
      <w:r w:rsidRPr="005458F6">
        <w:rPr>
          <w:b/>
          <w:bCs/>
        </w:rPr>
        <w:lastRenderedPageBreak/>
        <w:t>Sustainability, Efficiency, Effectiveness and Economy Statement </w:t>
      </w:r>
    </w:p>
    <w:p w14:paraId="37D218AA" w14:textId="77777777" w:rsidR="005458F6" w:rsidRPr="005458F6" w:rsidRDefault="005458F6" w:rsidP="005458F6">
      <w:pPr>
        <w:rPr>
          <w:b/>
          <w:bCs/>
        </w:rPr>
      </w:pPr>
    </w:p>
    <w:p w14:paraId="21F32EDC" w14:textId="6E181E8D" w:rsidR="005458F6" w:rsidRPr="005458F6" w:rsidRDefault="005458F6" w:rsidP="005458F6">
      <w:r w:rsidRPr="005458F6">
        <w:t xml:space="preserve">Under the Public Services Reform (Scotland) Act 2010 the Commission, along with other public bodies in Scotland, </w:t>
      </w:r>
      <w:r w:rsidR="009A3BF1">
        <w:t xml:space="preserve">also </w:t>
      </w:r>
      <w:r w:rsidRPr="005458F6">
        <w:t>has a duty to publish an annual statement of the steps it has taken that year to:</w:t>
      </w:r>
    </w:p>
    <w:p w14:paraId="0959764E" w14:textId="77777777" w:rsidR="005458F6" w:rsidRPr="005458F6" w:rsidRDefault="005458F6" w:rsidP="005458F6">
      <w:pPr>
        <w:numPr>
          <w:ilvl w:val="0"/>
          <w:numId w:val="8"/>
        </w:numPr>
      </w:pPr>
      <w:r w:rsidRPr="005458F6">
        <w:t>promote and increase sustainable growth through the exercise of its functions;</w:t>
      </w:r>
    </w:p>
    <w:p w14:paraId="481C53A5" w14:textId="77777777" w:rsidR="005458F6" w:rsidRPr="005458F6" w:rsidRDefault="005458F6" w:rsidP="005458F6">
      <w:pPr>
        <w:numPr>
          <w:ilvl w:val="0"/>
          <w:numId w:val="8"/>
        </w:numPr>
      </w:pPr>
      <w:r w:rsidRPr="005458F6">
        <w:t>improve efficiency, effectiveness and economy in exercise of its functions.  </w:t>
      </w:r>
    </w:p>
    <w:p w14:paraId="1D29C4AB" w14:textId="77777777" w:rsidR="009471AC" w:rsidRDefault="009471AC" w:rsidP="005458F6"/>
    <w:p w14:paraId="01C1BB75" w14:textId="7535372C" w:rsidR="005458F6" w:rsidRDefault="005458F6" w:rsidP="005458F6">
      <w:r w:rsidRPr="005458F6">
        <w:t xml:space="preserve">The Scottish Law Commission has a statutory function, which is to recommend to Ministers ways of simplifying, updating and improving the law of Scotland. Most of our work is carried out in accordance with our Programme of Law Reform. The Programme is prepared following extensive consultation, including discussions with Government. The Programme is submitted to Scottish Ministers for </w:t>
      </w:r>
      <w:r w:rsidR="00C61B61" w:rsidRPr="005458F6">
        <w:t>approval and</w:t>
      </w:r>
      <w:r w:rsidRPr="005458F6">
        <w:t xml:space="preserve"> is laid before the Scottish Parliament. The Commission also from time to time receives references from Ministers to carry out law reform projects. </w:t>
      </w:r>
    </w:p>
    <w:p w14:paraId="2095E21C" w14:textId="77777777" w:rsidR="009471AC" w:rsidRPr="005458F6" w:rsidRDefault="009471AC" w:rsidP="005458F6"/>
    <w:p w14:paraId="00413B2B" w14:textId="77777777" w:rsidR="005458F6" w:rsidRDefault="005458F6" w:rsidP="005458F6">
      <w:r w:rsidRPr="005458F6">
        <w:t>The Scottish Government’s Economic Strategy published in November 2006 included “By sustainable growth we mean building a dynamic and growing economy that will provide prosperity and opportunities for all, while ensuring that future generations can enjoy a better quality of life too.” </w:t>
      </w:r>
    </w:p>
    <w:p w14:paraId="4F14265D" w14:textId="77777777" w:rsidR="009471AC" w:rsidRPr="005458F6" w:rsidRDefault="009471AC" w:rsidP="005458F6"/>
    <w:p w14:paraId="618794EC" w14:textId="0DD8925F" w:rsidR="005458F6" w:rsidRDefault="005458F6" w:rsidP="005458F6">
      <w:r w:rsidRPr="005458F6">
        <w:t xml:space="preserve">In exercising its </w:t>
      </w:r>
      <w:r w:rsidR="00C61B61" w:rsidRPr="005458F6">
        <w:t>functions,</w:t>
      </w:r>
      <w:r w:rsidRPr="005458F6">
        <w:t xml:space="preserve"> the Commission contributed to the Scottish Government’s overall objectives and National Outcomes on Fair Work and Business, the Economy, Communities, Human Rights and Children and Young People. </w:t>
      </w:r>
    </w:p>
    <w:p w14:paraId="3DB850C1" w14:textId="77777777" w:rsidR="009471AC" w:rsidRPr="005458F6" w:rsidRDefault="009471AC" w:rsidP="005458F6"/>
    <w:p w14:paraId="29690A55" w14:textId="1E379D38" w:rsidR="005458F6" w:rsidRPr="005458F6" w:rsidRDefault="005458F6" w:rsidP="005458F6">
      <w:r w:rsidRPr="005458F6">
        <w:t>In particular law reform projects worked on during the financial year 202</w:t>
      </w:r>
      <w:r w:rsidR="009E532A">
        <w:t>5</w:t>
      </w:r>
      <w:r w:rsidRPr="005458F6">
        <w:t>/</w:t>
      </w:r>
      <w:r w:rsidR="009E532A">
        <w:t>6</w:t>
      </w:r>
      <w:r w:rsidRPr="005458F6">
        <w:t xml:space="preserve"> have the following purposes:</w:t>
      </w:r>
    </w:p>
    <w:p w14:paraId="6B242B1F" w14:textId="11E3535D" w:rsidR="005458F6" w:rsidRPr="005458F6" w:rsidRDefault="005458F6" w:rsidP="005458F6">
      <w:pPr>
        <w:numPr>
          <w:ilvl w:val="0"/>
          <w:numId w:val="9"/>
        </w:numPr>
      </w:pPr>
      <w:r w:rsidRPr="005458F6">
        <w:t>review of homicide law to update long-standing common law rules to make them fit for modern society</w:t>
      </w:r>
      <w:r w:rsidR="009A3BF1">
        <w:t>.  The report for this project was published on 25 September 2025;</w:t>
      </w:r>
    </w:p>
    <w:p w14:paraId="65972E95" w14:textId="0809A062" w:rsidR="005458F6" w:rsidRPr="005458F6" w:rsidRDefault="005458F6" w:rsidP="005458F6">
      <w:pPr>
        <w:numPr>
          <w:ilvl w:val="0"/>
          <w:numId w:val="9"/>
        </w:numPr>
      </w:pPr>
      <w:r w:rsidRPr="005458F6">
        <w:t xml:space="preserve">reform of law on tenement property, regarding the establishment of compulsory owners’ associations as a mechanism which may assist in </w:t>
      </w:r>
      <w:r w:rsidRPr="005458F6">
        <w:lastRenderedPageBreak/>
        <w:t>addressing concerns about disrepair in tenement buildings</w:t>
      </w:r>
      <w:r w:rsidR="009A3BF1">
        <w:t>.  The report for this project was published on 11 December 2025</w:t>
      </w:r>
      <w:r w:rsidRPr="005458F6">
        <w:t>;</w:t>
      </w:r>
    </w:p>
    <w:p w14:paraId="73E300BD" w14:textId="77777777" w:rsidR="005458F6" w:rsidRPr="005458F6" w:rsidRDefault="005458F6" w:rsidP="005458F6">
      <w:pPr>
        <w:numPr>
          <w:ilvl w:val="0"/>
          <w:numId w:val="9"/>
        </w:numPr>
      </w:pPr>
      <w:r w:rsidRPr="005458F6">
        <w:t>proposals for civil remedies for domestic abuse to simplify, update and make the law more effective including considering the impact on children and young people;</w:t>
      </w:r>
    </w:p>
    <w:p w14:paraId="66A0411A" w14:textId="77777777" w:rsidR="005458F6" w:rsidRPr="005458F6" w:rsidRDefault="005458F6" w:rsidP="005458F6">
      <w:pPr>
        <w:numPr>
          <w:ilvl w:val="0"/>
          <w:numId w:val="9"/>
        </w:numPr>
      </w:pPr>
      <w:r w:rsidRPr="005458F6">
        <w:t>heritable securities: reviewing the legal regime around heritable securities (mortgages), to better reflect the societal and economic changes that have taken place in Scotland in the last 50 years;</w:t>
      </w:r>
    </w:p>
    <w:p w14:paraId="6C49B7A6" w14:textId="1F79593A" w:rsidR="00EC6F99" w:rsidRDefault="005458F6" w:rsidP="005458F6">
      <w:pPr>
        <w:numPr>
          <w:ilvl w:val="0"/>
          <w:numId w:val="9"/>
        </w:numPr>
      </w:pPr>
      <w:r w:rsidRPr="005458F6">
        <w:t>reviewing the law relating to the execution of documents to reflect changes in a modern digital environment and dea</w:t>
      </w:r>
      <w:r w:rsidR="009F485B">
        <w:t>l</w:t>
      </w:r>
      <w:r w:rsidRPr="005458F6">
        <w:t xml:space="preserve"> with practical issues both making Scotland a more attractive place to do business and protecting consumers, including vulnerable people</w:t>
      </w:r>
      <w:r w:rsidR="00EC6F99">
        <w:t>;</w:t>
      </w:r>
    </w:p>
    <w:p w14:paraId="09D8C753" w14:textId="3CC161EF" w:rsidR="009A3BF1" w:rsidRDefault="009A3BF1" w:rsidP="005458F6">
      <w:pPr>
        <w:numPr>
          <w:ilvl w:val="0"/>
          <w:numId w:val="9"/>
        </w:numPr>
      </w:pPr>
      <w:r>
        <w:t>reviewing the law relating to executry to modernise</w:t>
      </w:r>
      <w:r w:rsidR="003614E1">
        <w:t xml:space="preserve"> it</w:t>
      </w:r>
      <w:r>
        <w:t xml:space="preserve"> so that it is clearer, more efficient and better suited to the needs of families, practitioners and the courts;</w:t>
      </w:r>
    </w:p>
    <w:p w14:paraId="69DFF141" w14:textId="31B24430" w:rsidR="009A3BF1" w:rsidRDefault="009A3BF1" w:rsidP="005458F6">
      <w:pPr>
        <w:numPr>
          <w:ilvl w:val="0"/>
          <w:numId w:val="9"/>
        </w:numPr>
      </w:pPr>
      <w:r>
        <w:t xml:space="preserve">reviewing the law relating to aspects of leases to modernise the law and make it fit for modern society; </w:t>
      </w:r>
    </w:p>
    <w:p w14:paraId="2CEE78C2" w14:textId="3DA053B9" w:rsidR="005458F6" w:rsidRPr="005458F6" w:rsidRDefault="009A3BF1" w:rsidP="005458F6">
      <w:pPr>
        <w:numPr>
          <w:ilvl w:val="0"/>
          <w:numId w:val="9"/>
        </w:numPr>
      </w:pPr>
      <w:r>
        <w:t>consolidation of nature conservation law to create a coherent and systematic body of legislation.</w:t>
      </w:r>
    </w:p>
    <w:p w14:paraId="7E28F41B" w14:textId="77777777" w:rsidR="005458F6" w:rsidRDefault="005458F6" w:rsidP="005458F6"/>
    <w:p w14:paraId="539B7D0C" w14:textId="29BF84F8" w:rsidR="005458F6" w:rsidRPr="005458F6" w:rsidRDefault="005458F6" w:rsidP="005458F6">
      <w:r w:rsidRPr="005458F6">
        <w:t xml:space="preserve">The Commission’s sole source of funding comes from the Scottish Government.  In the financial year around </w:t>
      </w:r>
      <w:r w:rsidR="002669FA">
        <w:t>88</w:t>
      </w:r>
      <w:r w:rsidRPr="005458F6">
        <w:t xml:space="preserve">% of the Commission’s costs were staff and Commissioner costs, </w:t>
      </w:r>
      <w:r w:rsidR="002669FA">
        <w:t>2.</w:t>
      </w:r>
      <w:r w:rsidRPr="005458F6">
        <w:t xml:space="preserve">1% were IT, telephone and postage costs and </w:t>
      </w:r>
      <w:r w:rsidR="002669FA">
        <w:t>6</w:t>
      </w:r>
      <w:r w:rsidRPr="005458F6">
        <w:t>.</w:t>
      </w:r>
      <w:r w:rsidR="002669FA">
        <w:t>4</w:t>
      </w:r>
      <w:r w:rsidRPr="005458F6">
        <w:t>% was accommodation costs, including maintenance and utilities.   </w:t>
      </w:r>
    </w:p>
    <w:p w14:paraId="222141DE" w14:textId="77777777" w:rsidR="00EC6F99" w:rsidRDefault="00EC6F99" w:rsidP="005458F6"/>
    <w:p w14:paraId="0F1915A5" w14:textId="4FD6A21B" w:rsidR="005458F6" w:rsidRDefault="005458F6" w:rsidP="005458F6">
      <w:r w:rsidRPr="005458F6">
        <w:t xml:space="preserve">To continue to improve efficiency, effectiveness and economy the Commission seeks to operate on a shared costs basis wherever </w:t>
      </w:r>
      <w:r w:rsidR="00C61B61" w:rsidRPr="005458F6">
        <w:t>possible,</w:t>
      </w:r>
      <w:r w:rsidRPr="005458F6">
        <w:t xml:space="preserve"> and this includes:</w:t>
      </w:r>
    </w:p>
    <w:p w14:paraId="1730D910" w14:textId="070898FF" w:rsidR="009A3BF1" w:rsidRPr="005458F6" w:rsidRDefault="009A3BF1" w:rsidP="009A3BF1">
      <w:pPr>
        <w:pStyle w:val="ListParagraph"/>
        <w:numPr>
          <w:ilvl w:val="0"/>
          <w:numId w:val="12"/>
        </w:numPr>
      </w:pPr>
      <w:r>
        <w:t>in 2025, changing to use an electronic filing system as oppose</w:t>
      </w:r>
      <w:r w:rsidR="009F485B">
        <w:t>d</w:t>
      </w:r>
      <w:r>
        <w:t xml:space="preserve"> to paper files; </w:t>
      </w:r>
    </w:p>
    <w:p w14:paraId="50601E14" w14:textId="77777777" w:rsidR="005458F6" w:rsidRPr="005458F6" w:rsidRDefault="005458F6" w:rsidP="009F485B">
      <w:pPr>
        <w:pStyle w:val="ListParagraph"/>
        <w:numPr>
          <w:ilvl w:val="0"/>
          <w:numId w:val="12"/>
        </w:numPr>
      </w:pPr>
      <w:r w:rsidRPr="005458F6">
        <w:t>a continuing agreement with the Scottish Government Legal Directorate on the provision of a shared library service to the Commission by the Scottish Legal Information Centre;</w:t>
      </w:r>
    </w:p>
    <w:p w14:paraId="126EB584" w14:textId="77777777" w:rsidR="005458F6" w:rsidRPr="005458F6" w:rsidRDefault="005458F6" w:rsidP="005458F6">
      <w:pPr>
        <w:numPr>
          <w:ilvl w:val="0"/>
          <w:numId w:val="10"/>
        </w:numPr>
      </w:pPr>
      <w:r w:rsidRPr="005458F6">
        <w:lastRenderedPageBreak/>
        <w:t>a service level agreement with the Government Legal Service for Scotland for the provision of resourcing and learning &amp; development services to the Commission;</w:t>
      </w:r>
    </w:p>
    <w:p w14:paraId="3C365109" w14:textId="6D9C11E2" w:rsidR="005458F6" w:rsidRPr="005458F6" w:rsidRDefault="005458F6" w:rsidP="005458F6">
      <w:pPr>
        <w:numPr>
          <w:ilvl w:val="0"/>
          <w:numId w:val="10"/>
        </w:numPr>
      </w:pPr>
      <w:r w:rsidRPr="005458F6">
        <w:t>use</w:t>
      </w:r>
      <w:r w:rsidR="009A3BF1">
        <w:t xml:space="preserve"> of</w:t>
      </w:r>
      <w:r w:rsidRPr="005458F6">
        <w:t xml:space="preserve"> the Scottish Government’s shared service </w:t>
      </w:r>
      <w:r w:rsidR="009F485B">
        <w:t>O</w:t>
      </w:r>
      <w:r w:rsidRPr="005458F6">
        <w:t>racle business system for finance and HR</w:t>
      </w:r>
    </w:p>
    <w:p w14:paraId="0ACF9612" w14:textId="77777777" w:rsidR="005458F6" w:rsidRPr="005458F6" w:rsidRDefault="005458F6" w:rsidP="005458F6">
      <w:pPr>
        <w:numPr>
          <w:ilvl w:val="0"/>
          <w:numId w:val="10"/>
        </w:numPr>
      </w:pPr>
      <w:r w:rsidRPr="005458F6">
        <w:t>continued participation in Scottish Government collaborative procurement agreements,</w:t>
      </w:r>
    </w:p>
    <w:p w14:paraId="58BCF52C" w14:textId="77777777" w:rsidR="005458F6" w:rsidRPr="005458F6" w:rsidRDefault="005458F6" w:rsidP="005458F6">
      <w:pPr>
        <w:numPr>
          <w:ilvl w:val="0"/>
          <w:numId w:val="10"/>
        </w:numPr>
      </w:pPr>
      <w:r w:rsidRPr="005458F6">
        <w:t>reducing travel to meetings unless this is essential for business reasons</w:t>
      </w:r>
    </w:p>
    <w:p w14:paraId="64168182" w14:textId="77777777" w:rsidR="005458F6" w:rsidRPr="005458F6" w:rsidRDefault="005458F6" w:rsidP="005458F6">
      <w:pPr>
        <w:numPr>
          <w:ilvl w:val="0"/>
          <w:numId w:val="10"/>
        </w:numPr>
      </w:pPr>
      <w:r w:rsidRPr="005458F6">
        <w:t>on staff training, continued reliance for compulsory professional development and for general staff development on shared training, for example seminars organised by the Scottish Government and the Government Legal Service for Scotland.</w:t>
      </w:r>
    </w:p>
    <w:p w14:paraId="21142DD0" w14:textId="77777777" w:rsidR="005458F6" w:rsidRPr="009B7615" w:rsidRDefault="005458F6" w:rsidP="00B561C0"/>
    <w:sectPr w:rsidR="005458F6" w:rsidRPr="009B7615" w:rsidSect="005458F6">
      <w:footerReference w:type="default" r:id="rId9"/>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4E257" w14:textId="77777777" w:rsidR="00AB0800" w:rsidRDefault="00AB0800" w:rsidP="007E5927">
      <w:pPr>
        <w:spacing w:line="240" w:lineRule="auto"/>
      </w:pPr>
      <w:r>
        <w:separator/>
      </w:r>
    </w:p>
  </w:endnote>
  <w:endnote w:type="continuationSeparator" w:id="0">
    <w:p w14:paraId="1C2FAA04" w14:textId="77777777" w:rsidR="00AB0800" w:rsidRDefault="00AB0800" w:rsidP="007E59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05812"/>
      <w:docPartObj>
        <w:docPartGallery w:val="Page Numbers (Bottom of Page)"/>
        <w:docPartUnique/>
      </w:docPartObj>
    </w:sdtPr>
    <w:sdtContent>
      <w:p w14:paraId="63FD65E7" w14:textId="627D4D2F" w:rsidR="007E5927" w:rsidRDefault="007E5927">
        <w:pPr>
          <w:pStyle w:val="Footer"/>
          <w:jc w:val="center"/>
        </w:pPr>
        <w:r>
          <w:fldChar w:fldCharType="begin"/>
        </w:r>
        <w:r>
          <w:instrText>PAGE   \* MERGEFORMAT</w:instrText>
        </w:r>
        <w:r>
          <w:fldChar w:fldCharType="separate"/>
        </w:r>
        <w:r>
          <w:t>2</w:t>
        </w:r>
        <w:r>
          <w:fldChar w:fldCharType="end"/>
        </w:r>
      </w:p>
    </w:sdtContent>
  </w:sdt>
  <w:p w14:paraId="5270A4BB" w14:textId="77777777" w:rsidR="007E5927" w:rsidRDefault="007E5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E2F7E" w14:textId="77777777" w:rsidR="00AB0800" w:rsidRDefault="00AB0800" w:rsidP="007E5927">
      <w:pPr>
        <w:spacing w:line="240" w:lineRule="auto"/>
      </w:pPr>
      <w:r>
        <w:separator/>
      </w:r>
    </w:p>
  </w:footnote>
  <w:footnote w:type="continuationSeparator" w:id="0">
    <w:p w14:paraId="722DDCB0" w14:textId="77777777" w:rsidR="00AB0800" w:rsidRDefault="00AB0800" w:rsidP="007E59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4F012F8"/>
    <w:multiLevelType w:val="multilevel"/>
    <w:tmpl w:val="CBA614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FB7281"/>
    <w:multiLevelType w:val="hybridMultilevel"/>
    <w:tmpl w:val="0BC4B3A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53454D2E"/>
    <w:multiLevelType w:val="multilevel"/>
    <w:tmpl w:val="5FDAB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5" w15:restartNumberingAfterBreak="0">
    <w:nsid w:val="6ACC6DF8"/>
    <w:multiLevelType w:val="hybridMultilevel"/>
    <w:tmpl w:val="CD98D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746E66"/>
    <w:multiLevelType w:val="multilevel"/>
    <w:tmpl w:val="03F64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E62407"/>
    <w:multiLevelType w:val="multilevel"/>
    <w:tmpl w:val="AD4253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0484934">
    <w:abstractNumId w:val="4"/>
  </w:num>
  <w:num w:numId="2" w16cid:durableId="942420817">
    <w:abstractNumId w:val="0"/>
  </w:num>
  <w:num w:numId="3" w16cid:durableId="1809860576">
    <w:abstractNumId w:val="0"/>
  </w:num>
  <w:num w:numId="4" w16cid:durableId="1281179496">
    <w:abstractNumId w:val="0"/>
  </w:num>
  <w:num w:numId="5" w16cid:durableId="2129932618">
    <w:abstractNumId w:val="4"/>
  </w:num>
  <w:num w:numId="6" w16cid:durableId="20938691">
    <w:abstractNumId w:val="0"/>
  </w:num>
  <w:num w:numId="7" w16cid:durableId="1386948280">
    <w:abstractNumId w:val="7"/>
  </w:num>
  <w:num w:numId="8" w16cid:durableId="2038044258">
    <w:abstractNumId w:val="6"/>
  </w:num>
  <w:num w:numId="9" w16cid:durableId="455442339">
    <w:abstractNumId w:val="3"/>
  </w:num>
  <w:num w:numId="10" w16cid:durableId="1603948598">
    <w:abstractNumId w:val="1"/>
  </w:num>
  <w:num w:numId="11" w16cid:durableId="1753965100">
    <w:abstractNumId w:val="2"/>
  </w:num>
  <w:num w:numId="12" w16cid:durableId="2096366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58F6"/>
    <w:rsid w:val="00026E92"/>
    <w:rsid w:val="00027C27"/>
    <w:rsid w:val="000C0CF4"/>
    <w:rsid w:val="000E4295"/>
    <w:rsid w:val="00105FF7"/>
    <w:rsid w:val="002669FA"/>
    <w:rsid w:val="00281579"/>
    <w:rsid w:val="002966DE"/>
    <w:rsid w:val="002D1DC2"/>
    <w:rsid w:val="00306C61"/>
    <w:rsid w:val="003614E1"/>
    <w:rsid w:val="0037582B"/>
    <w:rsid w:val="00382009"/>
    <w:rsid w:val="00385651"/>
    <w:rsid w:val="00491EA7"/>
    <w:rsid w:val="005458F6"/>
    <w:rsid w:val="0060049A"/>
    <w:rsid w:val="006F59D1"/>
    <w:rsid w:val="007E5927"/>
    <w:rsid w:val="007E7883"/>
    <w:rsid w:val="00857548"/>
    <w:rsid w:val="00937154"/>
    <w:rsid w:val="009471AC"/>
    <w:rsid w:val="009A3BF1"/>
    <w:rsid w:val="009B7615"/>
    <w:rsid w:val="009E532A"/>
    <w:rsid w:val="009F485B"/>
    <w:rsid w:val="00A11B48"/>
    <w:rsid w:val="00AB0800"/>
    <w:rsid w:val="00B51BDC"/>
    <w:rsid w:val="00B561C0"/>
    <w:rsid w:val="00B773CE"/>
    <w:rsid w:val="00C61B61"/>
    <w:rsid w:val="00C91823"/>
    <w:rsid w:val="00CE6364"/>
    <w:rsid w:val="00D008AB"/>
    <w:rsid w:val="00E650D3"/>
    <w:rsid w:val="00EC6F99"/>
    <w:rsid w:val="00ED555A"/>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82AD3"/>
  <w15:chartTrackingRefBased/>
  <w15:docId w15:val="{3D061DA3-7F61-4326-B200-7690F1AA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009"/>
    <w:pPr>
      <w:spacing w:line="360" w:lineRule="auto"/>
      <w:jc w:val="both"/>
    </w:pPr>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5458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58F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58F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58F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58F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58F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5458F6"/>
    <w:rPr>
      <w:rFonts w:eastAsiaTheme="majorEastAsia" w:cstheme="majorBidi"/>
      <w:i/>
      <w:iCs/>
      <w:color w:val="0F4761" w:themeColor="accent1" w:themeShade="BF"/>
      <w:sz w:val="24"/>
      <w:szCs w:val="20"/>
    </w:rPr>
  </w:style>
  <w:style w:type="character" w:customStyle="1" w:styleId="Heading5Char">
    <w:name w:val="Heading 5 Char"/>
    <w:basedOn w:val="DefaultParagraphFont"/>
    <w:link w:val="Heading5"/>
    <w:uiPriority w:val="9"/>
    <w:semiHidden/>
    <w:rsid w:val="005458F6"/>
    <w:rPr>
      <w:rFonts w:eastAsiaTheme="majorEastAsia" w:cstheme="majorBidi"/>
      <w:color w:val="0F4761" w:themeColor="accent1" w:themeShade="BF"/>
      <w:sz w:val="24"/>
      <w:szCs w:val="20"/>
    </w:rPr>
  </w:style>
  <w:style w:type="character" w:customStyle="1" w:styleId="Heading6Char">
    <w:name w:val="Heading 6 Char"/>
    <w:basedOn w:val="DefaultParagraphFont"/>
    <w:link w:val="Heading6"/>
    <w:uiPriority w:val="9"/>
    <w:semiHidden/>
    <w:rsid w:val="005458F6"/>
    <w:rPr>
      <w:rFonts w:eastAsiaTheme="majorEastAsia" w:cstheme="majorBidi"/>
      <w:i/>
      <w:iCs/>
      <w:color w:val="595959" w:themeColor="text1" w:themeTint="A6"/>
      <w:sz w:val="24"/>
      <w:szCs w:val="20"/>
    </w:rPr>
  </w:style>
  <w:style w:type="character" w:customStyle="1" w:styleId="Heading7Char">
    <w:name w:val="Heading 7 Char"/>
    <w:basedOn w:val="DefaultParagraphFont"/>
    <w:link w:val="Heading7"/>
    <w:uiPriority w:val="9"/>
    <w:semiHidden/>
    <w:rsid w:val="005458F6"/>
    <w:rPr>
      <w:rFonts w:eastAsiaTheme="majorEastAsia" w:cstheme="majorBidi"/>
      <w:color w:val="595959" w:themeColor="text1" w:themeTint="A6"/>
      <w:sz w:val="24"/>
      <w:szCs w:val="20"/>
    </w:rPr>
  </w:style>
  <w:style w:type="character" w:customStyle="1" w:styleId="Heading8Char">
    <w:name w:val="Heading 8 Char"/>
    <w:basedOn w:val="DefaultParagraphFont"/>
    <w:link w:val="Heading8"/>
    <w:uiPriority w:val="9"/>
    <w:semiHidden/>
    <w:rsid w:val="005458F6"/>
    <w:rPr>
      <w:rFonts w:eastAsiaTheme="majorEastAsia" w:cstheme="majorBidi"/>
      <w:i/>
      <w:iCs/>
      <w:color w:val="272727" w:themeColor="text1" w:themeTint="D8"/>
      <w:sz w:val="24"/>
      <w:szCs w:val="20"/>
    </w:rPr>
  </w:style>
  <w:style w:type="character" w:customStyle="1" w:styleId="Heading9Char">
    <w:name w:val="Heading 9 Char"/>
    <w:basedOn w:val="DefaultParagraphFont"/>
    <w:link w:val="Heading9"/>
    <w:uiPriority w:val="9"/>
    <w:semiHidden/>
    <w:rsid w:val="005458F6"/>
    <w:rPr>
      <w:rFonts w:eastAsiaTheme="majorEastAsia" w:cstheme="majorBidi"/>
      <w:color w:val="272727" w:themeColor="text1" w:themeTint="D8"/>
      <w:sz w:val="24"/>
      <w:szCs w:val="20"/>
    </w:rPr>
  </w:style>
  <w:style w:type="paragraph" w:styleId="Title">
    <w:name w:val="Title"/>
    <w:basedOn w:val="Normal"/>
    <w:next w:val="Normal"/>
    <w:link w:val="TitleChar"/>
    <w:uiPriority w:val="10"/>
    <w:qFormat/>
    <w:rsid w:val="00545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8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8F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58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8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58F6"/>
    <w:rPr>
      <w:rFonts w:ascii="Arial" w:hAnsi="Arial" w:cs="Times New Roman"/>
      <w:i/>
      <w:iCs/>
      <w:color w:val="404040" w:themeColor="text1" w:themeTint="BF"/>
      <w:sz w:val="24"/>
      <w:szCs w:val="20"/>
    </w:rPr>
  </w:style>
  <w:style w:type="paragraph" w:styleId="ListParagraph">
    <w:name w:val="List Paragraph"/>
    <w:basedOn w:val="Normal"/>
    <w:uiPriority w:val="34"/>
    <w:qFormat/>
    <w:rsid w:val="005458F6"/>
    <w:pPr>
      <w:ind w:left="720"/>
      <w:contextualSpacing/>
    </w:pPr>
  </w:style>
  <w:style w:type="character" w:styleId="IntenseEmphasis">
    <w:name w:val="Intense Emphasis"/>
    <w:basedOn w:val="DefaultParagraphFont"/>
    <w:uiPriority w:val="21"/>
    <w:qFormat/>
    <w:rsid w:val="005458F6"/>
    <w:rPr>
      <w:i/>
      <w:iCs/>
      <w:color w:val="0F4761" w:themeColor="accent1" w:themeShade="BF"/>
    </w:rPr>
  </w:style>
  <w:style w:type="paragraph" w:styleId="IntenseQuote">
    <w:name w:val="Intense Quote"/>
    <w:basedOn w:val="Normal"/>
    <w:next w:val="Normal"/>
    <w:link w:val="IntenseQuoteChar"/>
    <w:uiPriority w:val="30"/>
    <w:qFormat/>
    <w:rsid w:val="005458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58F6"/>
    <w:rPr>
      <w:rFonts w:ascii="Arial" w:hAnsi="Arial" w:cs="Times New Roman"/>
      <w:i/>
      <w:iCs/>
      <w:color w:val="0F4761" w:themeColor="accent1" w:themeShade="BF"/>
      <w:sz w:val="24"/>
      <w:szCs w:val="20"/>
    </w:rPr>
  </w:style>
  <w:style w:type="character" w:styleId="IntenseReference">
    <w:name w:val="Intense Reference"/>
    <w:basedOn w:val="DefaultParagraphFont"/>
    <w:uiPriority w:val="32"/>
    <w:qFormat/>
    <w:rsid w:val="005458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9beeb68d1fb54dc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53D26341A57B383EE0540010E0463CCA" version="1.0.0">
  <systemFields>
    <field name="Objective-Id">
      <value order="0">A56351248</value>
    </field>
    <field name="Objective-Title">
      <value order="0">Administration - Governance - PSR Statement - May 2026</value>
    </field>
    <field name="Objective-Description">
      <value order="0"/>
    </field>
    <field name="Objective-CreationStamp">
      <value order="0">2026-05-13T09:11:31Z</value>
    </field>
    <field name="Objective-IsApproved">
      <value order="0">false</value>
    </field>
    <field name="Objective-IsPublished">
      <value order="0">false</value>
    </field>
    <field name="Objective-DatePublished">
      <value order="0"/>
    </field>
    <field name="Objective-ModificationStamp">
      <value order="0">2026-05-14T14:16:08Z</value>
    </field>
    <field name="Objective-Owner">
      <value order="0">Rayner, Rachel R (U413483)</value>
    </field>
    <field name="Objective-Path">
      <value order="0">Objective Global Folder:Scottish Law Commission File Plan:Administration:Administration (Scottish Law Commission):Scottish Law Commission: Administration: Governance: 2026-2031</value>
    </field>
    <field name="Objective-Parent">
      <value order="0">Scottish Law Commission: Administration: Governance: 2026-2031</value>
    </field>
    <field name="Objective-State">
      <value order="0">Being Drafted</value>
    </field>
    <field name="Objective-VersionId">
      <value order="0">vA85568829</value>
    </field>
    <field name="Objective-Version">
      <value order="0">0.4</value>
    </field>
    <field name="Objective-VersionNumber">
      <value order="0">4</value>
    </field>
    <field name="Objective-VersionComment">
      <value order="0"/>
    </field>
    <field name="Objective-FileNumber">
      <value order="0">BUSPROC/11702</value>
    </field>
    <field name="Objective-Classification">
      <value order="0">OFFICIAL</value>
    </field>
    <field name="Objective-Caveats">
      <value order="0">Caveat for Access to Scottish Law Commission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00D45454-13E8-4AB4-BF04-F3D48BAE9C26}">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69</TotalTime>
  <Pages>5</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Rayner</dc:creator>
  <cp:keywords/>
  <dc:description/>
  <cp:lastModifiedBy>Rachel Rayner</cp:lastModifiedBy>
  <cp:revision>15</cp:revision>
  <dcterms:created xsi:type="dcterms:W3CDTF">2026-05-10T15:07:00Z</dcterms:created>
  <dcterms:modified xsi:type="dcterms:W3CDTF">2026-05-14T14:15:00Z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A56351248</vt:lpwstr>
  </property>
  <property fmtid="{D5CDD505-2E9C-101B-9397-08002B2CF9AE}" pid="4" name="Objective-Title">
    <vt:lpwstr>Administration - Governance - PSR Statement - May 2026</vt:lpwstr>
  </property>
  <property fmtid="{D5CDD505-2E9C-101B-9397-08002B2CF9AE}" pid="5" name="Objective-Description">
    <vt:lpwstr/>
  </property>
  <property fmtid="{D5CDD505-2E9C-101B-9397-08002B2CF9AE}" pid="6" name="Objective-CreationStamp">
    <vt:filetime>2026-05-13T09:11:31Z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2026-05-14T14:16:08Z</vt:filetime>
  </property>
  <property fmtid="{D5CDD505-2E9C-101B-9397-08002B2CF9AE}" pid="11" name="Objective-Owner">
    <vt:lpwstr>Rayner, Rachel R (U413483)</vt:lpwstr>
  </property>
  <property fmtid="{D5CDD505-2E9C-101B-9397-08002B2CF9AE}" pid="12" name="Objective-Path">
    <vt:lpwstr>Objective Global Folder:Scottish Law Commission File Plan:Administration:Administration (Scottish Law Commission):Scottish Law Commission: Administration: Governance: 2026-2031</vt:lpwstr>
  </property>
  <property fmtid="{D5CDD505-2E9C-101B-9397-08002B2CF9AE}" pid="13" name="Objective-Parent">
    <vt:lpwstr>Scottish Law Commission: Administration: Governance: 2026-2031</vt:lpwstr>
  </property>
  <property fmtid="{D5CDD505-2E9C-101B-9397-08002B2CF9AE}" pid="14" name="Objective-State">
    <vt:lpwstr>Being Drafted</vt:lpwstr>
  </property>
  <property fmtid="{D5CDD505-2E9C-101B-9397-08002B2CF9AE}" pid="15" name="Objective-VersionId">
    <vt:lpwstr>vA85568829</vt:lpwstr>
  </property>
  <property fmtid="{D5CDD505-2E9C-101B-9397-08002B2CF9AE}" pid="16" name="Objective-Version">
    <vt:lpwstr>0.4</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BUSPROC/11702</vt:lpwstr>
  </property>
  <property fmtid="{D5CDD505-2E9C-101B-9397-08002B2CF9AE}" pid="20" name="Objective-Classification">
    <vt:lpwstr>OFFICIAL</vt:lpwstr>
  </property>
  <property fmtid="{D5CDD505-2E9C-101B-9397-08002B2CF9AE}" pid="21" name="Objective-Caveats">
    <vt:lpwstr>Caveat for Access to Scottish Law Commission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